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C470F" w:rsidRDefault="001C470F" w:rsidP="001C470F">
      <w:pPr>
        <w:jc w:val="both"/>
        <w:rPr>
          <w:rFonts w:ascii="Arial Narrow" w:hAnsi="Arial Narrow" w:cs="Arial"/>
          <w:b/>
          <w:color w:val="000000"/>
          <w:sz w:val="22"/>
          <w:szCs w:val="22"/>
        </w:rPr>
      </w:pPr>
      <w:r>
        <w:rPr>
          <w:rFonts w:ascii="Arial Narrow" w:hAnsi="Arial Narrow" w:cs="Arial"/>
          <w:b/>
          <w:color w:val="000000"/>
          <w:sz w:val="22"/>
          <w:szCs w:val="22"/>
        </w:rPr>
        <w:t>PARA EL BALANCE PARCIAL DE CY T</w:t>
      </w:r>
    </w:p>
    <w:p w:rsidR="001C470F" w:rsidRDefault="001C470F" w:rsidP="001C470F">
      <w:pPr>
        <w:jc w:val="both"/>
        <w:rPr>
          <w:rFonts w:ascii="Arial Narrow" w:hAnsi="Arial Narrow" w:cs="Arial"/>
          <w:b/>
          <w:color w:val="000000"/>
          <w:sz w:val="22"/>
          <w:szCs w:val="22"/>
        </w:rPr>
      </w:pPr>
      <w:bookmarkStart w:id="0" w:name="_GoBack"/>
      <w:bookmarkEnd w:id="0"/>
    </w:p>
    <w:p w:rsidR="001C470F" w:rsidRDefault="001C470F" w:rsidP="001C470F">
      <w:pPr>
        <w:jc w:val="both"/>
        <w:rPr>
          <w:rFonts w:ascii="Arial Narrow" w:hAnsi="Arial Narrow" w:cs="Arial"/>
          <w:b/>
          <w:color w:val="000000"/>
          <w:sz w:val="22"/>
          <w:szCs w:val="22"/>
        </w:rPr>
      </w:pPr>
      <w:r>
        <w:rPr>
          <w:rFonts w:ascii="Arial Narrow" w:hAnsi="Arial Narrow" w:cs="Arial"/>
          <w:b/>
          <w:color w:val="000000"/>
          <w:sz w:val="22"/>
          <w:szCs w:val="22"/>
        </w:rPr>
        <w:t>LIZETTE PÉREZ PUBLICACIONES</w:t>
      </w:r>
    </w:p>
    <w:p w:rsidR="001C470F" w:rsidRDefault="001C470F" w:rsidP="001C470F">
      <w:pPr>
        <w:jc w:val="both"/>
        <w:rPr>
          <w:rFonts w:ascii="Arial Narrow" w:hAnsi="Arial Narrow" w:cs="Arial"/>
          <w:b/>
          <w:color w:val="000000"/>
          <w:sz w:val="22"/>
          <w:szCs w:val="22"/>
        </w:rPr>
      </w:pPr>
    </w:p>
    <w:p w:rsidR="001C470F" w:rsidRDefault="001C470F" w:rsidP="001C470F">
      <w:pPr>
        <w:jc w:val="both"/>
        <w:rPr>
          <w:rFonts w:ascii="Arial Narrow" w:hAnsi="Arial Narrow" w:cs="Arial"/>
          <w:b/>
          <w:color w:val="000000"/>
          <w:sz w:val="22"/>
          <w:szCs w:val="22"/>
        </w:rPr>
      </w:pPr>
    </w:p>
    <w:p w:rsidR="001C470F" w:rsidRDefault="001C470F" w:rsidP="001C470F">
      <w:pPr>
        <w:jc w:val="both"/>
        <w:rPr>
          <w:rFonts w:ascii="Arial Narrow" w:hAnsi="Arial Narrow"/>
          <w:b/>
          <w:sz w:val="22"/>
          <w:szCs w:val="22"/>
        </w:rPr>
      </w:pPr>
      <w:r w:rsidRPr="008D595F">
        <w:rPr>
          <w:rFonts w:ascii="Arial Narrow" w:hAnsi="Arial Narrow" w:cs="Arial"/>
          <w:b/>
          <w:color w:val="000000"/>
          <w:sz w:val="22"/>
          <w:szCs w:val="22"/>
        </w:rPr>
        <w:t>Ha presentado los siguientes resultados científicos</w:t>
      </w:r>
      <w:r>
        <w:rPr>
          <w:rFonts w:ascii="Arial Narrow" w:hAnsi="Arial Narrow" w:cs="Arial"/>
          <w:color w:val="000000"/>
          <w:sz w:val="22"/>
          <w:szCs w:val="22"/>
        </w:rPr>
        <w:t>:</w:t>
      </w:r>
    </w:p>
    <w:p w:rsidR="001C470F" w:rsidRPr="002A5036" w:rsidRDefault="001C470F" w:rsidP="001C470F">
      <w:pPr>
        <w:jc w:val="both"/>
        <w:rPr>
          <w:rFonts w:ascii="Arial Narrow" w:hAnsi="Arial Narrow"/>
          <w:sz w:val="22"/>
          <w:szCs w:val="22"/>
        </w:rPr>
      </w:pPr>
      <w:r w:rsidRPr="002A5036">
        <w:rPr>
          <w:rFonts w:ascii="Arial Narrow" w:hAnsi="Arial Narrow"/>
          <w:sz w:val="22"/>
          <w:szCs w:val="22"/>
        </w:rPr>
        <w:t>Se han presentado los siguientes artículos en la etapa</w:t>
      </w:r>
    </w:p>
    <w:p w:rsidR="001C470F" w:rsidRPr="008D595F" w:rsidRDefault="001C470F" w:rsidP="001C470F">
      <w:pPr>
        <w:pStyle w:val="Prrafodelista"/>
        <w:numPr>
          <w:ilvl w:val="0"/>
          <w:numId w:val="1"/>
        </w:numPr>
        <w:spacing w:line="240" w:lineRule="auto"/>
        <w:ind w:left="714" w:hanging="357"/>
        <w:jc w:val="both"/>
        <w:rPr>
          <w:rFonts w:ascii="Arial Narrow" w:hAnsi="Arial Narrow"/>
        </w:rPr>
      </w:pPr>
      <w:r w:rsidRPr="008D595F">
        <w:rPr>
          <w:rFonts w:ascii="Arial Narrow" w:hAnsi="Arial Narrow"/>
        </w:rPr>
        <w:t>La investigación científica en las universidades, coautora, presentado en Evento Internacional INNOED 2013, mayo 2013, en las Tunas, con ISBN 978-959-16-2107-8.</w:t>
      </w:r>
    </w:p>
    <w:p w:rsidR="001C470F" w:rsidRPr="008D595F" w:rsidRDefault="001C470F" w:rsidP="001C470F">
      <w:pPr>
        <w:pStyle w:val="Prrafodelista"/>
        <w:numPr>
          <w:ilvl w:val="0"/>
          <w:numId w:val="1"/>
        </w:numPr>
        <w:spacing w:line="240" w:lineRule="auto"/>
        <w:ind w:left="714" w:hanging="357"/>
        <w:jc w:val="both"/>
        <w:rPr>
          <w:rFonts w:ascii="Arial Narrow" w:hAnsi="Arial Narrow"/>
        </w:rPr>
      </w:pPr>
      <w:bookmarkStart w:id="1" w:name="OLE_LINK1"/>
      <w:r w:rsidRPr="008D595F">
        <w:rPr>
          <w:rFonts w:ascii="Arial Narrow" w:hAnsi="Arial Narrow" w:cs="Arial"/>
        </w:rPr>
        <w:t xml:space="preserve">Connotación de las  habilidades lógicas en la formación de competencias profesionales. </w:t>
      </w:r>
      <w:r w:rsidRPr="008D595F">
        <w:rPr>
          <w:rFonts w:ascii="Arial Narrow" w:hAnsi="Arial Narrow"/>
        </w:rPr>
        <w:t>en Evento Internacional INNOED 2013, mayo 2013, en las Tunas, con ISBN 978-959-16-2107-8.</w:t>
      </w:r>
    </w:p>
    <w:bookmarkEnd w:id="1"/>
    <w:p w:rsidR="001C470F" w:rsidRDefault="001C470F" w:rsidP="001C470F">
      <w:pPr>
        <w:pStyle w:val="Prrafodelista"/>
        <w:numPr>
          <w:ilvl w:val="0"/>
          <w:numId w:val="1"/>
        </w:numPr>
        <w:spacing w:line="240" w:lineRule="auto"/>
        <w:ind w:left="714" w:hanging="357"/>
        <w:rPr>
          <w:rFonts w:ascii="Arial Narrow" w:hAnsi="Arial Narrow"/>
        </w:rPr>
      </w:pPr>
      <w:r w:rsidRPr="008D595F">
        <w:rPr>
          <w:rFonts w:ascii="Arial Narrow" w:hAnsi="Arial Narrow"/>
        </w:rPr>
        <w:t>Desafíos del sistema Nacional de Educación Superior en la construcción de la cultura del aseguramiento de la calidad de la Educación Superior. Conferencia Magistral. Evento Internacional INNOED 2013, mayo 2013, en las Tunas, con ISBN 978-959-16-2107-8.</w:t>
      </w:r>
    </w:p>
    <w:p w:rsidR="001C470F" w:rsidRPr="001369B7" w:rsidRDefault="001C470F" w:rsidP="001C470F">
      <w:pPr>
        <w:pStyle w:val="Prrafodelista"/>
        <w:numPr>
          <w:ilvl w:val="0"/>
          <w:numId w:val="1"/>
        </w:numPr>
        <w:spacing w:before="240" w:after="0" w:line="240" w:lineRule="auto"/>
        <w:ind w:left="714" w:hanging="357"/>
        <w:jc w:val="both"/>
        <w:rPr>
          <w:rFonts w:ascii="Arial Narrow" w:hAnsi="Arial Narrow" w:cs="Arial"/>
          <w:sz w:val="24"/>
          <w:szCs w:val="24"/>
          <w:lang w:val="es-MX"/>
        </w:rPr>
      </w:pPr>
      <w:r w:rsidRPr="001369B7">
        <w:rPr>
          <w:rFonts w:ascii="Arial Narrow" w:hAnsi="Arial Narrow" w:cs="Arial"/>
          <w:sz w:val="24"/>
          <w:szCs w:val="24"/>
          <w:lang w:val="es-ES_tradnl"/>
        </w:rPr>
        <w:t xml:space="preserve">La dinámica cultural de la universidad una mirada actual. Revista Santiago. Edición Especial. octubre 2012, </w:t>
      </w:r>
      <w:r w:rsidRPr="001369B7">
        <w:rPr>
          <w:rFonts w:ascii="Arial Narrow" w:hAnsi="Arial Narrow" w:cs="Calibri"/>
          <w:color w:val="000000"/>
          <w:sz w:val="24"/>
          <w:szCs w:val="24"/>
        </w:rPr>
        <w:t>Revista Santiago.</w:t>
      </w:r>
      <w:r w:rsidRPr="001369B7">
        <w:rPr>
          <w:rFonts w:ascii="Arial Narrow" w:hAnsi="Arial Narrow" w:cs="Calibri"/>
          <w:color w:val="000000"/>
          <w:sz w:val="24"/>
          <w:szCs w:val="24"/>
          <w:lang w:val="es-VE"/>
        </w:rPr>
        <w:t>País: Cuba. ISSN: 0048-9115.</w:t>
      </w:r>
    </w:p>
    <w:p w:rsidR="001C470F" w:rsidRPr="001369B7" w:rsidRDefault="001C470F" w:rsidP="001C470F">
      <w:pPr>
        <w:pStyle w:val="Prrafodelista"/>
        <w:numPr>
          <w:ilvl w:val="0"/>
          <w:numId w:val="1"/>
        </w:numPr>
        <w:spacing w:before="240" w:after="0" w:line="240" w:lineRule="auto"/>
        <w:ind w:left="714" w:hanging="357"/>
        <w:jc w:val="both"/>
        <w:rPr>
          <w:rFonts w:ascii="Arial Narrow" w:hAnsi="Arial Narrow" w:cs="Arial"/>
          <w:sz w:val="24"/>
          <w:szCs w:val="24"/>
          <w:lang w:val="es-MX"/>
        </w:rPr>
      </w:pPr>
      <w:r w:rsidRPr="001369B7">
        <w:rPr>
          <w:rFonts w:ascii="Arial Narrow" w:hAnsi="Arial Narrow" w:cs="Arial"/>
          <w:color w:val="000000"/>
          <w:sz w:val="24"/>
          <w:szCs w:val="24"/>
        </w:rPr>
        <w:t xml:space="preserve">La formación agropecuaria social solidaria en las universidades, retos ante la globalización del siglo XXI en América Latina. </w:t>
      </w:r>
      <w:r w:rsidRPr="001369B7">
        <w:rPr>
          <w:rFonts w:ascii="Arial Narrow" w:hAnsi="Arial Narrow" w:cs="Arial"/>
          <w:sz w:val="24"/>
          <w:szCs w:val="24"/>
        </w:rPr>
        <w:t xml:space="preserve">Enlace Universitario, </w:t>
      </w:r>
      <w:r w:rsidRPr="001369B7">
        <w:rPr>
          <w:rFonts w:ascii="Arial Narrow" w:hAnsi="Arial Narrow" w:cs="Arial"/>
          <w:color w:val="000000"/>
          <w:sz w:val="24"/>
          <w:szCs w:val="24"/>
        </w:rPr>
        <w:t>No 13 – año 2012, Folio 16 718 del 2007- 11-12.,  ISSN 1390-6976, páginas 292-299, Indexado en  LATINDEX.</w:t>
      </w:r>
    </w:p>
    <w:p w:rsidR="001C470F" w:rsidRPr="001369B7" w:rsidRDefault="001C470F" w:rsidP="001C470F">
      <w:pPr>
        <w:pStyle w:val="Prrafodelista"/>
        <w:numPr>
          <w:ilvl w:val="0"/>
          <w:numId w:val="1"/>
        </w:numPr>
        <w:spacing w:before="240" w:after="0" w:line="240" w:lineRule="auto"/>
        <w:ind w:left="714" w:hanging="357"/>
        <w:jc w:val="both"/>
        <w:rPr>
          <w:rFonts w:ascii="Arial Narrow" w:hAnsi="Arial Narrow" w:cs="Arial"/>
          <w:sz w:val="24"/>
          <w:szCs w:val="24"/>
          <w:lang w:val="es-MX"/>
        </w:rPr>
      </w:pPr>
      <w:r w:rsidRPr="001369B7">
        <w:rPr>
          <w:rFonts w:ascii="Arial Narrow" w:hAnsi="Arial Narrow" w:cs="Calibri"/>
          <w:bCs/>
          <w:sz w:val="24"/>
          <w:szCs w:val="24"/>
          <w:lang w:val="es-ES_tradnl"/>
        </w:rPr>
        <w:t>Fundamentación epistemológica del proceso de formación de los profesionales universitarios y diseño curricular. Enlace universitario. ISBN: 978-364-07-09, Editorial: INDUGRAF, N 13, 2012</w:t>
      </w:r>
    </w:p>
    <w:p w:rsidR="001C470F" w:rsidRDefault="001C470F" w:rsidP="001C470F">
      <w:pPr>
        <w:pStyle w:val="Prrafodelista"/>
        <w:numPr>
          <w:ilvl w:val="0"/>
          <w:numId w:val="1"/>
        </w:numPr>
        <w:spacing w:before="240" w:after="0" w:line="240" w:lineRule="auto"/>
        <w:ind w:left="714" w:hanging="357"/>
        <w:jc w:val="both"/>
        <w:rPr>
          <w:rFonts w:ascii="Arial Narrow" w:hAnsi="Arial Narrow" w:cs="Arial"/>
          <w:sz w:val="24"/>
          <w:szCs w:val="24"/>
          <w:lang w:val="es-MX"/>
        </w:rPr>
      </w:pPr>
      <w:r w:rsidRPr="001369B7">
        <w:rPr>
          <w:rFonts w:ascii="Arial Narrow" w:hAnsi="Arial Narrow" w:cs="Arial"/>
          <w:sz w:val="24"/>
          <w:szCs w:val="24"/>
          <w:lang w:val="es-MX"/>
        </w:rPr>
        <w:t>Proyección e impacto de los centros de estudios de educación superior: experiencias en la universidad de oriente, presentado Evento Provincial Universidad 2014.</w:t>
      </w:r>
    </w:p>
    <w:p w:rsidR="00496D6D" w:rsidRPr="001C470F" w:rsidRDefault="00496D6D">
      <w:pPr>
        <w:rPr>
          <w:lang w:val="es-MX"/>
        </w:rPr>
      </w:pPr>
    </w:p>
    <w:sectPr w:rsidR="00496D6D" w:rsidRPr="001C470F">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7CBA4479"/>
    <w:multiLevelType w:val="hybridMultilevel"/>
    <w:tmpl w:val="F27AD0EC"/>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470F"/>
    <w:rsid w:val="001C470F"/>
    <w:rsid w:val="00496D6D"/>
    <w:rsid w:val="00B23CD7"/>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70F"/>
    <w:pPr>
      <w:spacing w:after="0" w:line="240" w:lineRule="auto"/>
    </w:pPr>
    <w:rPr>
      <w:rFonts w:ascii="Times New Roman" w:eastAsia="Times New Roman" w:hAnsi="Times New Roman" w:cs="Times New Roman"/>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qFormat/>
    <w:rsid w:val="001C470F"/>
    <w:pPr>
      <w:spacing w:after="200" w:line="276" w:lineRule="auto"/>
      <w:ind w:left="720"/>
      <w:contextualSpacing/>
    </w:pPr>
    <w:rPr>
      <w:rFonts w:ascii="Calibri" w:eastAsia="Calibri" w:hAnsi="Calibri"/>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470F"/>
    <w:pPr>
      <w:spacing w:after="0" w:line="240" w:lineRule="auto"/>
    </w:pPr>
    <w:rPr>
      <w:rFonts w:ascii="Times New Roman" w:eastAsia="Times New Roman" w:hAnsi="Times New Roman" w:cs="Times New Roman"/>
      <w:sz w:val="20"/>
      <w:szCs w:val="20"/>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qFormat/>
    <w:rsid w:val="001C470F"/>
    <w:pPr>
      <w:spacing w:after="200" w:line="276" w:lineRule="auto"/>
      <w:ind w:left="720"/>
      <w:contextualSpacing/>
    </w:pPr>
    <w:rPr>
      <w:rFonts w:ascii="Calibri" w:eastAsia="Calibri" w:hAnsi="Calibri"/>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233</Words>
  <Characters>1286</Characters>
  <Application>Microsoft Office Word</Application>
  <DocSecurity>0</DocSecurity>
  <Lines>10</Lines>
  <Paragraphs>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1516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CeeS01</dc:creator>
  <cp:lastModifiedBy>CeeS01</cp:lastModifiedBy>
  <cp:revision>1</cp:revision>
  <dcterms:created xsi:type="dcterms:W3CDTF">2002-01-02T00:22:00Z</dcterms:created>
  <dcterms:modified xsi:type="dcterms:W3CDTF">2002-01-02T00:24:00Z</dcterms:modified>
</cp:coreProperties>
</file>